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F" w:rsidRDefault="007C424F" w:rsidP="007C424F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7C424F" w:rsidRDefault="007C424F" w:rsidP="007C424F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2 do Zaproszenia – Wzór Formularza Oferty</w:t>
      </w:r>
    </w:p>
    <w:p w:rsidR="007C424F" w:rsidRDefault="007C424F" w:rsidP="007C424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Konkurs Ofert Nr 4/2023</w:t>
      </w:r>
    </w:p>
    <w:p w:rsidR="007C424F" w:rsidRDefault="007C424F" w:rsidP="007C42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3"/>
      </w:tblGrid>
      <w:tr w:rsidR="007C424F" w:rsidTr="007C424F">
        <w:trPr>
          <w:trHeight w:val="589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</w:tbl>
    <w:p w:rsidR="007C424F" w:rsidRDefault="007C424F" w:rsidP="007C424F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24F" w:rsidRDefault="007C424F" w:rsidP="007C424F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uprawnione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porozumiewania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EXATEL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tel.,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e-mail)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F" w:rsidRDefault="007C424F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424F" w:rsidRDefault="007C424F" w:rsidP="007C42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C424F" w:rsidRDefault="007C424F" w:rsidP="007C42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>Nawiązując do zapytania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na dostawę sprzętu komputerowego w ramach projektu „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>, Critical Network SDN Security System - System bezpieczeństwa sieci SDN dla infrastruktury krytycznej (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>).”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"SZAFIR" - Konkurs nr 3/SZAFIR/2021, współfinansowany przez Narodowe Centrum Badań i Rozwoju (ul. Nowogrodzka 47a, 00-695 Warszawa). Okres realizacji projektu: 01.2023 – 12.2026 r. Projekt realizowany w konsorcjum z GAZ-SYSTEM S.A. oraz Politechniką Rzeszowską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4/2023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działając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>w imieniu Oferenta i będąc należycie upoważnionym do jego reprezentowania, składam Ofertę na poniższych warunkach.</w:t>
      </w:r>
    </w:p>
    <w:p w:rsidR="007C424F" w:rsidRDefault="007C424F" w:rsidP="007C424F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7C424F" w:rsidRDefault="007C424F" w:rsidP="007C424F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realizację przedmiotu zamówienia tj. dostawę sprzętu komputerowego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wraz z zapewnieniem wymaganej w pkt 3.9 gwarancji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za łączną cenę netto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………………………………………., (słownie: …………………………………………………………………………..……….),   </w:t>
      </w:r>
    </w:p>
    <w:p w:rsidR="007C424F" w:rsidRDefault="007C424F" w:rsidP="007C424F">
      <w:pPr>
        <w:pStyle w:val="BodyA"/>
        <w:spacing w:line="276" w:lineRule="auto"/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 w:frame="1"/>
          <w:lang w:val="pl-PL" w:eastAsia="zh-CN"/>
        </w:rPr>
      </w:pPr>
      <w:r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 w:frame="1"/>
          <w:lang w:val="pl-PL" w:eastAsia="zh-CN"/>
        </w:rPr>
        <w:t>wg. poniższej specyfikacji:</w:t>
      </w:r>
    </w:p>
    <w:tbl>
      <w:tblPr>
        <w:tblW w:w="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992"/>
        <w:gridCol w:w="1418"/>
        <w:gridCol w:w="1275"/>
        <w:gridCol w:w="993"/>
        <w:gridCol w:w="1134"/>
      </w:tblGrid>
      <w:tr w:rsidR="007C424F" w:rsidTr="007C424F">
        <w:trPr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bCs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Cena jednostkowa netto –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netto –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VAT –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bCs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brutto – w zł</w:t>
            </w:r>
          </w:p>
        </w:tc>
      </w:tr>
      <w:tr w:rsidR="007C424F" w:rsidTr="007C424F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7</w:t>
            </w: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Komputer przenośny (Laptop)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Stacja dokująca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Monitor: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elementy- klawiatura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7C424F" w:rsidRDefault="007C424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elementy- mysz optyczna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7C424F" w:rsidRDefault="007C424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elementy- Słuchawki z mikrofonem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Komputer przenośny (Laptop)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Stacja dokująca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Monitor: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elementy- klawiatura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7C424F" w:rsidRDefault="007C424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Dodatkowe elementy- mysz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optyczna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7C424F" w:rsidRDefault="007C424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elementy- Słuchawki z mikrofonem 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24F" w:rsidTr="007C424F">
        <w:trPr>
          <w:trHeight w:val="660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RAZEM:</w:t>
            </w:r>
          </w:p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24F" w:rsidRDefault="007C42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C424F" w:rsidRDefault="007C424F" w:rsidP="007C424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Uwaga! Wykonawca wraz z Ofertą zobowiązany jest dostarczyć szczegółową specyfikację techniczną dla oferowanych Urządzeń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umożliwiającą weryfikację wymagań technicznych wskazanych w Opisie Przedmiotu Zamówienia stanowiącym załącznik nr 1 do Zaproszenia ”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.</w:t>
      </w:r>
    </w:p>
    <w:p w:rsidR="007C424F" w:rsidRDefault="007C424F" w:rsidP="007C424F">
      <w:pPr>
        <w:spacing w:line="276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7C424F" w:rsidRDefault="007C424F" w:rsidP="007C424F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 Oferty jest zgodny z Opisem Przedmiotu Zamówienia stanowiącym załącznik nr 1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>do Zaproszenia.</w:t>
      </w:r>
    </w:p>
    <w:p w:rsidR="007C424F" w:rsidRDefault="007C424F" w:rsidP="007C424F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Oferujemy realizację przedmiotu umowy w terminie do 60 dni licząc od daty podpisania umowy.</w:t>
      </w:r>
    </w:p>
    <w:p w:rsidR="007C424F" w:rsidRDefault="007C424F" w:rsidP="007C424F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t>Ponadto oświadczamy, że: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rozumiemy, że wszelkie informacje uzyskane w związku z realizacją Zamówienia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oraz przebiegiem Konkursu Ofert będą uważane za poufne, chyba, że zostaną oznaczone jako nie poufne lub ich charakter przesądza o braku ich po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ufności. Zobowiązujemy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 ujawniać, ani bezpośrednio </w:t>
      </w:r>
      <w:r>
        <w:rPr>
          <w:rFonts w:asciiTheme="minorHAnsi" w:hAnsiTheme="minorHAnsi" w:cstheme="minorHAnsi"/>
          <w:color w:val="000000"/>
          <w:sz w:val="22"/>
          <w:szCs w:val="22"/>
        </w:rPr>
        <w:t>ani pośrednio, takich informacji żadnej innej osobie lub podmi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otowi dla jakichkolwiek celów, </w:t>
      </w:r>
      <w:r>
        <w:rPr>
          <w:rFonts w:asciiTheme="minorHAnsi" w:hAnsiTheme="minorHAnsi" w:cstheme="minorHAnsi"/>
          <w:color w:val="000000"/>
          <w:sz w:val="22"/>
          <w:szCs w:val="22"/>
        </w:rPr>
        <w:t>jak też zobowiązujemy się nie wykorzystywać, ani nie kopiować taki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 informacji poufnych, chyba, </w:t>
      </w:r>
      <w:r>
        <w:rPr>
          <w:rFonts w:asciiTheme="minorHAnsi" w:hAnsiTheme="minorHAnsi" w:cstheme="minorHAnsi"/>
          <w:color w:val="000000"/>
          <w:sz w:val="22"/>
          <w:szCs w:val="22"/>
        </w:rPr>
        <w:t>że wyłącznie dla celów realizacji przedmiotu niniejszego postępowania, w tym w celu złożenia Oferty;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zapoznaliśmy się z wymaganiami Zamawiającego określonymi w Zaproszeniu i nie wnosimy </w:t>
      </w:r>
      <w:r>
        <w:rPr>
          <w:rFonts w:asciiTheme="minorHAnsi" w:hAnsiTheme="minorHAnsi" w:cstheme="minorHAnsi"/>
          <w:sz w:val="22"/>
          <w:szCs w:val="22"/>
        </w:rPr>
        <w:br/>
        <w:t>do nich zastrzeżeń;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zdobyliśmy konieczne informacje do złożenia Oferty; 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sporządziliśmy Ofertę zgodnie z Zaproszeniem; 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wyboru naszej Oferty i zawarcia z nami umowy zobowiązujemy się do realizacji przedmiotu zamówienia zgodnie z warunkami określonymi w Zaproszeniu;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 obejmuje wszelkie koszty związane z realizacją przedmiotu zamówienia </w:t>
      </w:r>
      <w:r>
        <w:rPr>
          <w:rFonts w:asciiTheme="minorHAnsi" w:hAnsiTheme="minorHAnsi" w:cstheme="minorHAnsi"/>
          <w:sz w:val="22"/>
          <w:szCs w:val="22"/>
        </w:rPr>
        <w:br/>
        <w:t>i nie jest uzależniona od żadnych innych warunków;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za związanych z Ofertą przez okres 60 dni od momentu upływu terminu </w:t>
      </w:r>
      <w:r>
        <w:rPr>
          <w:rFonts w:asciiTheme="minorHAnsi" w:hAnsiTheme="minorHAnsi" w:cstheme="minorHAnsi"/>
          <w:sz w:val="22"/>
          <w:szCs w:val="22"/>
        </w:rPr>
        <w:br/>
        <w:t xml:space="preserve">na złożenie Oferty; 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zawarty w Zaproszeniu wzór umowy został przez nas zaakceptowany i zobowiązujemy </w:t>
      </w:r>
      <w:r>
        <w:rPr>
          <w:rFonts w:asciiTheme="minorHAnsi" w:hAnsiTheme="minorHAnsi" w:cstheme="minorHAnsi"/>
          <w:sz w:val="22"/>
          <w:szCs w:val="22"/>
        </w:rPr>
        <w:br/>
        <w:t xml:space="preserve">się w przypadku wybrania naszej Oferty, do jej zawarcia na wymienionych warunkach, w miejscu </w:t>
      </w:r>
      <w:r>
        <w:rPr>
          <w:rFonts w:asciiTheme="minorHAnsi" w:hAnsiTheme="minorHAnsi" w:cstheme="minorHAnsi"/>
          <w:sz w:val="22"/>
          <w:szCs w:val="22"/>
        </w:rPr>
        <w:br/>
        <w:t>i terminie wyznaczonym przez Zamawiającego;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udzielamy</w:t>
      </w:r>
      <w:r>
        <w:rPr>
          <w:rFonts w:asciiTheme="minorHAnsi" w:hAnsiTheme="minorHAnsi" w:cstheme="minorHAnsi"/>
          <w:b/>
          <w:sz w:val="22"/>
          <w:szCs w:val="22"/>
        </w:rPr>
        <w:t>…………-miesięcznej gwarancji dla komputerów przenośnych (pozycja LP. 1 oraz LP. 5 tabeli powyżej)</w:t>
      </w:r>
      <w:r>
        <w:rPr>
          <w:rFonts w:asciiTheme="minorHAnsi" w:hAnsiTheme="minorHAnsi" w:cstheme="minorHAnsi"/>
          <w:sz w:val="22"/>
          <w:szCs w:val="22"/>
        </w:rPr>
        <w:t>,………..</w:t>
      </w:r>
      <w:r>
        <w:rPr>
          <w:rFonts w:asciiTheme="minorHAnsi" w:hAnsiTheme="minorHAnsi" w:cstheme="minorHAnsi"/>
          <w:b/>
          <w:sz w:val="22"/>
          <w:szCs w:val="22"/>
        </w:rPr>
        <w:t>miesięcznej gwarancji dla stacji dokujących(pozycja LP. 2 oraz LP. 6 tabeli powyżej)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………………… miesięcznej gwarancji dla monitorów (pozycja LP. 3 oraz LP. 7 tabeli powyżej)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oraz </w:t>
      </w:r>
      <w:r>
        <w:rPr>
          <w:rFonts w:asciiTheme="minorHAnsi" w:hAnsiTheme="minorHAnsi" w:cstheme="minorHAnsi"/>
          <w:b/>
          <w:sz w:val="22"/>
          <w:szCs w:val="22"/>
        </w:rPr>
        <w:t>…….. miesięcznej gwaranci dla dodatkowych elementów (pozycja LP. 4 oraz LP. 8 tabeli powyżej)</w:t>
      </w:r>
      <w:r>
        <w:rPr>
          <w:rFonts w:asciiTheme="minorHAnsi" w:hAnsiTheme="minorHAnsi" w:cstheme="minorHAnsi"/>
          <w:sz w:val="22"/>
          <w:szCs w:val="22"/>
        </w:rPr>
        <w:t>, o której mowa w pkt 1.2 Zaproszenia, której bieg rozpocznie się od daty dostarcze</w:t>
      </w:r>
      <w:r>
        <w:rPr>
          <w:rFonts w:asciiTheme="minorHAnsi" w:hAnsiTheme="minorHAnsi" w:cstheme="minorHAnsi"/>
          <w:sz w:val="22"/>
          <w:szCs w:val="22"/>
        </w:rPr>
        <w:t xml:space="preserve">nia Urządzeń </w:t>
      </w:r>
      <w:r>
        <w:rPr>
          <w:rFonts w:asciiTheme="minorHAnsi" w:hAnsiTheme="minorHAnsi" w:cstheme="minorHAnsi"/>
          <w:sz w:val="22"/>
          <w:szCs w:val="22"/>
        </w:rPr>
        <w:t>przez Wykonawcę, co zostanie potwierdzone w podpisanym przez obie Strony bez zastrzeżeń Protokole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Odbioru Końcowego;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termin płatności: w ciągu 30 dni od daty doręczenia przez Wykonawcę prawidłowo wystawionej faktury;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posiadamy uprawnienia do wykonywania określonej działalności lub czynności, jeśli przepisy prawa nakładają obowiązek ich posiadania;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znajdujemy się w sytuacji ekonomicznej i finansowej zapewniającej należytą i terminową realizacje przedmiotu zamówienia;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lub jednostką zależną, </w:t>
      </w:r>
      <w:r>
        <w:rPr>
          <w:rFonts w:asciiTheme="minorHAnsi" w:hAnsiTheme="minorHAnsi" w:cstheme="minorHAnsi"/>
          <w:sz w:val="22"/>
          <w:szCs w:val="22"/>
        </w:rPr>
        <w:t xml:space="preserve">współzależną lub dominującą </w:t>
      </w:r>
      <w:r>
        <w:rPr>
          <w:rFonts w:asciiTheme="minorHAnsi" w:hAnsiTheme="minorHAnsi" w:cstheme="minorHAnsi"/>
          <w:sz w:val="22"/>
          <w:szCs w:val="22"/>
        </w:rPr>
        <w:br/>
        <w:t xml:space="preserve">w relacji z Zamawiającym lub Konsorcjantem w rozumieniu ustawy z dnia 29 września 1994 r. </w:t>
      </w:r>
      <w:r>
        <w:rPr>
          <w:rFonts w:asciiTheme="minorHAnsi" w:hAnsiTheme="minorHAnsi" w:cstheme="minorHAnsi"/>
          <w:sz w:val="22"/>
          <w:szCs w:val="22"/>
        </w:rPr>
        <w:br/>
        <w:t>o rachunkowości (Dz. U. z 2016 r. poz. 1047 ze zm.);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nie jesteśmy przedsiębiorstwem powiązanym ani przedsiębiorstwem partnerskim w stosunku </w:t>
      </w:r>
      <w:r>
        <w:rPr>
          <w:rFonts w:asciiTheme="minorHAnsi" w:hAnsiTheme="minorHAnsi" w:cstheme="minorHAnsi"/>
          <w:sz w:val="22"/>
          <w:szCs w:val="22"/>
        </w:rPr>
        <w:br/>
        <w:t>do Zamawiającego lub Konsorcjanta w rozumieniu Rozporządzenia nr 651/2014;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przedsiębiorcą powiązanym ani przedsiębiorcą partnerskim w stosunku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>do Zamawiającego lub Konsorcjanta w rozumieniu Rozporządzenia nr 651/2014;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nie jesteśmy podmiotem pozostającym z Zamawiającym, Konsorcjantem lub członkami </w:t>
      </w:r>
      <w:r>
        <w:rPr>
          <w:rFonts w:asciiTheme="minorHAnsi" w:hAnsiTheme="minorHAnsi" w:cstheme="minorHAnsi"/>
          <w:sz w:val="22"/>
          <w:szCs w:val="22"/>
        </w:rPr>
        <w:br/>
        <w:t xml:space="preserve">ich organów w takim stosunku faktycznym lub prawnym, który może budzić uzasadnione wątpliwości </w:t>
      </w:r>
      <w:r>
        <w:rPr>
          <w:rFonts w:asciiTheme="minorHAnsi" w:hAnsiTheme="minorHAnsi" w:cstheme="minorHAnsi"/>
          <w:sz w:val="22"/>
          <w:szCs w:val="22"/>
        </w:rPr>
        <w:br/>
        <w:t>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7C424F" w:rsidRDefault="007C424F" w:rsidP="007C424F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osobowo z Zamawiającym lub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Konorcjantem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rozumieniu w rozumieniu art. 32 ust. 2 ustawy z dnia 11 marca 2004 r. o podatku od towarów i usług (Dz. U. z 2017 r. poz. 1221, ze zm.). Przez powiązania kapitałowe lub osobowe rozumie się wzajemne powiązania między beneficjentem lub osobami upoważnionymi do zaciągania zobowiązań w imieniu beneficjenta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 xml:space="preserve">lub osobami wykonującymi w imieniu beneficjenta czynności związane z przeprowadzeniem procedury wyboru wykonawcy a wykonawcą, polegające w szczególności na:   </w:t>
      </w:r>
    </w:p>
    <w:p w:rsidR="007C424F" w:rsidRDefault="007C424F" w:rsidP="007C424F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7C424F" w:rsidRDefault="007C424F" w:rsidP="007C424F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z przepisów prawa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 xml:space="preserve">lub nie został określony przez IZ PO,   </w:t>
      </w:r>
    </w:p>
    <w:p w:rsidR="007C424F" w:rsidRDefault="007C424F" w:rsidP="007C424F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c.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7C424F" w:rsidRDefault="007C424F" w:rsidP="007C424F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pozostawaniu w związku małżeńskim, w stosunku pokrewieństwa lub powinowactwa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 xml:space="preserve">w linii prostej, pokrewieństwa drugiego stopnia lub powinowactwa drugiego stopnia w linii bocznej lub w stosunku przysposobienia, opieki lub kurateli. </w:t>
      </w:r>
    </w:p>
    <w:p w:rsidR="007C424F" w:rsidRDefault="007C424F" w:rsidP="007C42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3.18. </w:t>
      </w:r>
      <w:r>
        <w:rPr>
          <w:rFonts w:asciiTheme="minorHAnsi" w:hAnsiTheme="minorHAnsi" w:cstheme="minorHAnsi"/>
          <w:sz w:val="22"/>
          <w:szCs w:val="22"/>
        </w:rPr>
        <w:tab/>
        <w:t xml:space="preserve">w związku z wejściem w życie w dniu 16 kwietnia 2022 r. ustawy z dnia 13 kwietnia 2022 r. </w:t>
      </w:r>
      <w:r>
        <w:rPr>
          <w:rFonts w:asciiTheme="minorHAnsi" w:hAnsiTheme="minorHAnsi" w:cstheme="minorHAnsi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 zakresie przeciwdziałania wspieraniu agresji na Ukrainę oraz służących ochronie bezpieczeństwa narodowego (Dz. U. z 2022 r. poz. 835). </w:t>
      </w:r>
    </w:p>
    <w:p w:rsidR="007C424F" w:rsidRDefault="007C424F" w:rsidP="007C424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7C424F" w:rsidRDefault="007C424F" w:rsidP="007C424F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7C424F" w:rsidRDefault="007C424F" w:rsidP="007C42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została złożona na ……. kolejno ponumerowanych stronach.</w:t>
      </w: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1B" w:rsidRDefault="0062661B" w:rsidP="00D9010C">
      <w:r>
        <w:separator/>
      </w:r>
    </w:p>
  </w:endnote>
  <w:endnote w:type="continuationSeparator" w:id="0">
    <w:p w:rsidR="0062661B" w:rsidRDefault="0062661B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1B" w:rsidRDefault="0062661B" w:rsidP="00D9010C">
      <w:r>
        <w:separator/>
      </w:r>
    </w:p>
  </w:footnote>
  <w:footnote w:type="continuationSeparator" w:id="0">
    <w:p w:rsidR="0062661B" w:rsidRDefault="0062661B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2661B"/>
    <w:rsid w:val="007C424F"/>
    <w:rsid w:val="007C497C"/>
    <w:rsid w:val="007C6123"/>
    <w:rsid w:val="00840507"/>
    <w:rsid w:val="00A232C9"/>
    <w:rsid w:val="00A62FB3"/>
    <w:rsid w:val="00B34D66"/>
    <w:rsid w:val="00C61356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3E9A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34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2023-02-27T09:31:00Z</dcterms:created>
  <dcterms:modified xsi:type="dcterms:W3CDTF">2023-02-27T09:31:00Z</dcterms:modified>
</cp:coreProperties>
</file>