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DF37E" w14:textId="77777777" w:rsidR="006534DF" w:rsidRDefault="006534DF" w:rsidP="00481EAA">
      <w:pPr>
        <w:pStyle w:val="BodyA"/>
        <w:spacing w:line="276" w:lineRule="auto"/>
        <w:jc w:val="right"/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</w:pP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Załącznik nr </w:t>
      </w:r>
      <w:r w:rsidR="00C049D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1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– </w:t>
      </w:r>
      <w:r w:rsidR="0055560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Specyfikacja przedmiotu zamówienia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do</w:t>
      </w:r>
      <w:r w:rsidR="00C600A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postępowania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nr </w:t>
      </w:r>
      <w:r w:rsidR="00481EAA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23</w:t>
      </w:r>
      <w:r w:rsidR="00482C6E" w:rsidRP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/2025</w:t>
      </w:r>
      <w:r w:rsid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</w:p>
    <w:p w14:paraId="1D43235C" w14:textId="77777777" w:rsidR="00481EAA" w:rsidRPr="00481EAA" w:rsidRDefault="00481EAA" w:rsidP="00481EAA">
      <w:pPr>
        <w:pStyle w:val="BodyA"/>
        <w:spacing w:line="276" w:lineRule="auto"/>
        <w:jc w:val="right"/>
        <w:rPr>
          <w:rStyle w:val="None"/>
          <w:rFonts w:ascii="Arial" w:eastAsia="Arial" w:hAnsi="Arial" w:cs="Arial"/>
          <w:b/>
          <w:i/>
          <w:color w:val="auto"/>
          <w:lang w:val="pl-PL"/>
        </w:rPr>
      </w:pPr>
      <w:r w:rsidRPr="00481EAA">
        <w:rPr>
          <w:rStyle w:val="None"/>
          <w:rFonts w:ascii="Arial" w:eastAsia="Arial" w:hAnsi="Arial" w:cs="Arial"/>
          <w:b/>
          <w:i/>
          <w:color w:val="auto"/>
          <w:lang w:val="pl-PL"/>
        </w:rPr>
        <w:t>WNZAK/2025/11/00169</w:t>
      </w:r>
    </w:p>
    <w:p w14:paraId="33B03A31" w14:textId="77777777"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AB5455E" w14:textId="77777777" w:rsidR="00CC4C52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732D946" w14:textId="77777777"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24C64020" w14:textId="77777777" w:rsidR="00482880" w:rsidRPr="00776CC8" w:rsidRDefault="006534DF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Nawiązując do ogłoszenia o postępowaniu dotyczącym zakup</w:t>
      </w:r>
      <w:r w:rsidR="00C600A2" w:rsidRPr="00776CC8">
        <w:rPr>
          <w:rStyle w:val="None"/>
          <w:rFonts w:ascii="Arial" w:hAnsi="Arial" w:cs="Arial"/>
          <w:lang w:val="pl-PL"/>
        </w:rPr>
        <w:t>u</w:t>
      </w:r>
      <w:r w:rsidRPr="00776CC8">
        <w:rPr>
          <w:rStyle w:val="None"/>
          <w:rFonts w:ascii="Arial" w:hAnsi="Arial" w:cs="Arial"/>
          <w:lang w:val="pl-PL"/>
        </w:rPr>
        <w:t xml:space="preserve"> </w:t>
      </w:r>
      <w:r w:rsidR="00482880" w:rsidRPr="00776CC8">
        <w:rPr>
          <w:rStyle w:val="None"/>
          <w:rFonts w:ascii="Arial" w:hAnsi="Arial" w:cs="Arial"/>
          <w:lang w:val="pl-PL"/>
        </w:rPr>
        <w:t xml:space="preserve">usług na </w:t>
      </w:r>
      <w:r w:rsidR="00A00AFF" w:rsidRPr="00776CC8">
        <w:rPr>
          <w:rStyle w:val="None"/>
          <w:rFonts w:ascii="Arial" w:hAnsi="Arial" w:cs="Arial"/>
          <w:lang w:val="pl-PL"/>
        </w:rPr>
        <w:t>remont rampy zjazdowej do garażu podziemnego</w:t>
      </w:r>
      <w:r w:rsidR="00482880" w:rsidRPr="00776CC8">
        <w:rPr>
          <w:rStyle w:val="None"/>
          <w:rFonts w:ascii="Arial" w:hAnsi="Arial" w:cs="Arial"/>
          <w:lang w:val="pl-PL"/>
        </w:rPr>
        <w:t xml:space="preserve"> w budynku siedziby EXATEL przy ul. Perkuna 47 w Warszawie. </w:t>
      </w:r>
    </w:p>
    <w:p w14:paraId="6496E277" w14:textId="77777777" w:rsidR="006534DF" w:rsidRPr="00776CC8" w:rsidRDefault="00482880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P</w:t>
      </w:r>
      <w:r w:rsidR="00C049D2" w:rsidRPr="00776CC8">
        <w:rPr>
          <w:rStyle w:val="None"/>
          <w:rFonts w:ascii="Arial" w:hAnsi="Arial" w:cs="Arial"/>
          <w:lang w:val="pl-PL"/>
        </w:rPr>
        <w:t>oniżej</w:t>
      </w:r>
      <w:r w:rsidR="00C600A2" w:rsidRPr="00776CC8">
        <w:rPr>
          <w:rStyle w:val="None"/>
          <w:rFonts w:ascii="Arial" w:hAnsi="Arial" w:cs="Arial"/>
          <w:lang w:val="pl-PL"/>
        </w:rPr>
        <w:t xml:space="preserve"> przedstawiamy specyfikację </w:t>
      </w:r>
      <w:r w:rsidR="00C049D2" w:rsidRPr="00776CC8">
        <w:rPr>
          <w:rStyle w:val="None"/>
          <w:rFonts w:ascii="Arial" w:hAnsi="Arial" w:cs="Arial"/>
          <w:lang w:val="pl-PL"/>
        </w:rPr>
        <w:t>przedmiotu zamówienia</w:t>
      </w:r>
      <w:r w:rsidR="00C600A2" w:rsidRPr="00776CC8">
        <w:rPr>
          <w:rStyle w:val="None"/>
          <w:rFonts w:ascii="Arial" w:hAnsi="Arial" w:cs="Arial"/>
          <w:lang w:val="pl-PL"/>
        </w:rPr>
        <w:t xml:space="preserve">: </w:t>
      </w:r>
    </w:p>
    <w:p w14:paraId="0B7ADD14" w14:textId="77777777"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38006AF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18D26D0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ela-Siatka"/>
        <w:tblW w:w="9609" w:type="dxa"/>
        <w:tblLayout w:type="fixed"/>
        <w:tblLook w:val="04A0" w:firstRow="1" w:lastRow="0" w:firstColumn="1" w:lastColumn="0" w:noHBand="0" w:noVBand="1"/>
      </w:tblPr>
      <w:tblGrid>
        <w:gridCol w:w="820"/>
        <w:gridCol w:w="3148"/>
        <w:gridCol w:w="1143"/>
        <w:gridCol w:w="1340"/>
        <w:gridCol w:w="1666"/>
        <w:gridCol w:w="1492"/>
      </w:tblGrid>
      <w:tr w:rsidR="00803982" w14:paraId="173B2424" w14:textId="77777777" w:rsidTr="003006BF">
        <w:trPr>
          <w:trHeight w:val="1063"/>
        </w:trPr>
        <w:tc>
          <w:tcPr>
            <w:tcW w:w="820" w:type="dxa"/>
            <w:shd w:val="clear" w:color="auto" w:fill="BDD6EE" w:themeFill="accent1" w:themeFillTint="66"/>
          </w:tcPr>
          <w:p w14:paraId="7F16DF16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3148" w:type="dxa"/>
            <w:shd w:val="clear" w:color="auto" w:fill="BDD6EE" w:themeFill="accent1" w:themeFillTint="66"/>
          </w:tcPr>
          <w:p w14:paraId="2B7953EB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Rodzaj prac i lokalizacja</w:t>
            </w:r>
          </w:p>
        </w:tc>
        <w:tc>
          <w:tcPr>
            <w:tcW w:w="1143" w:type="dxa"/>
            <w:shd w:val="clear" w:color="auto" w:fill="BDD6EE" w:themeFill="accent1" w:themeFillTint="66"/>
          </w:tcPr>
          <w:p w14:paraId="68951AD6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Jednostka miary</w:t>
            </w:r>
          </w:p>
        </w:tc>
        <w:tc>
          <w:tcPr>
            <w:tcW w:w="1340" w:type="dxa"/>
            <w:shd w:val="clear" w:color="auto" w:fill="BDD6EE" w:themeFill="accent1" w:themeFillTint="66"/>
          </w:tcPr>
          <w:p w14:paraId="3B3373FC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Szacowana ilość</w:t>
            </w:r>
          </w:p>
        </w:tc>
        <w:tc>
          <w:tcPr>
            <w:tcW w:w="1664" w:type="dxa"/>
            <w:shd w:val="clear" w:color="auto" w:fill="BDD6EE" w:themeFill="accent1" w:themeFillTint="66"/>
          </w:tcPr>
          <w:p w14:paraId="3FF56822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Jednostkowa wartość netto- w zł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44A8B52C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Łączna wartość netto – w zł</w:t>
            </w:r>
          </w:p>
        </w:tc>
      </w:tr>
      <w:tr w:rsidR="003E7656" w14:paraId="42FA10C9" w14:textId="77777777" w:rsidTr="003006BF">
        <w:trPr>
          <w:trHeight w:val="530"/>
        </w:trPr>
        <w:tc>
          <w:tcPr>
            <w:tcW w:w="820" w:type="dxa"/>
          </w:tcPr>
          <w:p w14:paraId="52E633AC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45928F8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skucie istniejącej nawierzchni</w:t>
            </w:r>
          </w:p>
        </w:tc>
        <w:tc>
          <w:tcPr>
            <w:tcW w:w="1143" w:type="dxa"/>
          </w:tcPr>
          <w:p w14:paraId="4B85A9FB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61D6CDA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089BBCB0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59A25094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10E902A0" w14:textId="77777777" w:rsidTr="003006BF">
        <w:trPr>
          <w:trHeight w:val="497"/>
        </w:trPr>
        <w:tc>
          <w:tcPr>
            <w:tcW w:w="820" w:type="dxa"/>
          </w:tcPr>
          <w:p w14:paraId="0E62D2C1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003BE087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demontaż niedziałającej instalacji grzewczej</w:t>
            </w:r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(3 pętli</w:t>
            </w:r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/obwodów</w:t>
            </w:r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1421472E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5BB462AA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3239E96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72BB278B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06D9B7C8" w14:textId="77777777" w:rsidTr="003006BF">
        <w:trPr>
          <w:trHeight w:val="530"/>
        </w:trPr>
        <w:tc>
          <w:tcPr>
            <w:tcW w:w="820" w:type="dxa"/>
          </w:tcPr>
          <w:p w14:paraId="561662CE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3D958E5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wymiana odwodnienia liniowego</w:t>
            </w:r>
          </w:p>
          <w:p w14:paraId="34341DC9" w14:textId="61F3F6CF" w:rsidR="00FD606C" w:rsidRPr="003006BF" w:rsidRDefault="00FD606C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(w obrębie bramy garażowej 1 szt. Oraz na łączeniu płyty betonowej wewnętrznej z posadzką przemysłowa garażu 1 szt.</w:t>
            </w:r>
            <w:r w:rsidR="005E65B8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6A96A9D3" w14:textId="30CF32D4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4E6784A1" w14:textId="30FE06B4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</w:t>
            </w:r>
          </w:p>
        </w:tc>
        <w:tc>
          <w:tcPr>
            <w:tcW w:w="1340" w:type="dxa"/>
          </w:tcPr>
          <w:p w14:paraId="0D3344D0" w14:textId="5931AC5A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02E3A0AE" w14:textId="61ADD00F" w:rsidR="003072A3" w:rsidRDefault="003072A3" w:rsidP="003072A3">
            <w:pPr>
              <w:pStyle w:val="Tekstkomentarza"/>
            </w:pPr>
            <w:r>
              <w:t>2szt.  x 5,1</w:t>
            </w:r>
          </w:p>
          <w:p w14:paraId="745801CE" w14:textId="4DC156FF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64" w:type="dxa"/>
          </w:tcPr>
          <w:p w14:paraId="6F4A3C8F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0E023C8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65C36525" w14:textId="77777777" w:rsidTr="003006BF">
        <w:trPr>
          <w:trHeight w:val="530"/>
        </w:trPr>
        <w:tc>
          <w:tcPr>
            <w:tcW w:w="820" w:type="dxa"/>
          </w:tcPr>
          <w:p w14:paraId="696C1CDD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39C46BD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montaż nowoczesnej elektrycznej instalacji grzewczej rampy zjazdowej (najlepiej energooszczędnej</w:t>
            </w:r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– do 6 pętli/obwodów</w:t>
            </w: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4D52B58C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790BA37B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4E8BADE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5F9B597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36665EFB" w14:textId="77777777" w:rsidTr="003006BF">
        <w:trPr>
          <w:trHeight w:val="530"/>
        </w:trPr>
        <w:tc>
          <w:tcPr>
            <w:tcW w:w="820" w:type="dxa"/>
          </w:tcPr>
          <w:p w14:paraId="140C2A84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1C7B6E9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wykonanie nowej nawierzchni betonowej ryflowanej </w:t>
            </w:r>
          </w:p>
        </w:tc>
        <w:tc>
          <w:tcPr>
            <w:tcW w:w="1143" w:type="dxa"/>
          </w:tcPr>
          <w:p w14:paraId="55C0E1E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63A681C0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05CC9D1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15B4066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224E78BD" w14:textId="77777777" w:rsidTr="003006BF">
        <w:trPr>
          <w:trHeight w:val="530"/>
        </w:trPr>
        <w:tc>
          <w:tcPr>
            <w:tcW w:w="820" w:type="dxa"/>
          </w:tcPr>
          <w:p w14:paraId="10569A8E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573E51E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wykonanie zabezpieczenia przeciwpoślizgowego</w:t>
            </w:r>
          </w:p>
        </w:tc>
        <w:tc>
          <w:tcPr>
            <w:tcW w:w="1143" w:type="dxa"/>
          </w:tcPr>
          <w:p w14:paraId="2A299E3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19A6A607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293C276C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03C11BA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33173A8F" w14:textId="77777777" w:rsidTr="003006BF">
        <w:trPr>
          <w:trHeight w:val="530"/>
        </w:trPr>
        <w:tc>
          <w:tcPr>
            <w:tcW w:w="820" w:type="dxa"/>
          </w:tcPr>
          <w:p w14:paraId="377A9E70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61CF5DE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utylizacja gruzu </w:t>
            </w:r>
          </w:p>
        </w:tc>
        <w:tc>
          <w:tcPr>
            <w:tcW w:w="1143" w:type="dxa"/>
          </w:tcPr>
          <w:p w14:paraId="2CFB4E96" w14:textId="6413C7B5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3C624932" w14:textId="77777777" w:rsidR="003072A3" w:rsidRDefault="003072A3" w:rsidP="003072A3">
            <w:pPr>
              <w:pStyle w:val="Tekstkomentarza"/>
            </w:pPr>
            <w:r>
              <w:t>m3</w:t>
            </w:r>
          </w:p>
          <w:p w14:paraId="501134EB" w14:textId="5BF6FAAB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340" w:type="dxa"/>
          </w:tcPr>
          <w:p w14:paraId="3B22F6E5" w14:textId="11220996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3F27EB2C" w14:textId="61D68C5E" w:rsidR="003072A3" w:rsidRPr="003E7656" w:rsidRDefault="003072A3" w:rsidP="005E65B8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15894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max 6</w:t>
            </w:r>
            <w:r w:rsidR="005E65B8" w:rsidRPr="00915894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,0</w:t>
            </w:r>
          </w:p>
        </w:tc>
        <w:tc>
          <w:tcPr>
            <w:tcW w:w="1664" w:type="dxa"/>
          </w:tcPr>
          <w:p w14:paraId="7975BB9E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34AB84E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51739606" w14:textId="77777777" w:rsidTr="003006BF">
        <w:trPr>
          <w:trHeight w:val="530"/>
        </w:trPr>
        <w:tc>
          <w:tcPr>
            <w:tcW w:w="9609" w:type="dxa"/>
            <w:gridSpan w:val="6"/>
          </w:tcPr>
          <w:p w14:paraId="1D2E5E36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Powyższe winno być zgodnie z obowiązującymi technologiami wykonania danych elementów budowlanych.</w:t>
            </w:r>
          </w:p>
          <w:p w14:paraId="16E1046D" w14:textId="7ED3D9EC" w:rsidR="003E7656" w:rsidRPr="003006BF" w:rsidRDefault="003E7656" w:rsidP="0057398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Warunek konieczny: realizacja w/w przedmiotu zamówienia </w:t>
            </w:r>
            <w:r w:rsidR="0057398D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do końca bieżącego roku</w:t>
            </w: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.  </w:t>
            </w:r>
          </w:p>
        </w:tc>
      </w:tr>
      <w:tr w:rsidR="00970189" w14:paraId="2A083616" w14:textId="77777777" w:rsidTr="003006BF">
        <w:trPr>
          <w:trHeight w:val="891"/>
        </w:trPr>
        <w:tc>
          <w:tcPr>
            <w:tcW w:w="8117" w:type="dxa"/>
            <w:gridSpan w:val="5"/>
            <w:shd w:val="clear" w:color="auto" w:fill="BDD6EE" w:themeFill="accent1" w:themeFillTint="66"/>
          </w:tcPr>
          <w:p w14:paraId="5A4F4882" w14:textId="77777777"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b/>
                <w:szCs w:val="16"/>
              </w:rPr>
            </w:pPr>
          </w:p>
          <w:p w14:paraId="2E9D8562" w14:textId="77777777"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Cs w:val="16"/>
              </w:rPr>
              <w:t>RAZEM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6C12D87D" w14:textId="77777777" w:rsidR="00970189" w:rsidRDefault="00970189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180FBB71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2E96A289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3E63C5B" w14:textId="77777777" w:rsidR="007E182F" w:rsidRPr="00516E96" w:rsidRDefault="007E182F" w:rsidP="00516E96">
      <w:pPr>
        <w:spacing w:line="276" w:lineRule="auto"/>
        <w:rPr>
          <w:rStyle w:val="None"/>
          <w:rFonts w:cs="Arial"/>
          <w:b/>
          <w:bCs/>
        </w:rPr>
      </w:pPr>
    </w:p>
    <w:p w14:paraId="12A6600E" w14:textId="77777777" w:rsidR="00C600A2" w:rsidRPr="00052CF7" w:rsidRDefault="00BD0718" w:rsidP="00BD0718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14:paraId="13BFA945" w14:textId="77777777"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14:paraId="3ACD67AD" w14:textId="205C2288" w:rsidR="00BD0718" w:rsidRPr="00F75118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>cją zawartą w powyższej tabeli</w:t>
      </w:r>
      <w:r w:rsidR="00FF1C00">
        <w:rPr>
          <w:rStyle w:val="None"/>
          <w:rFonts w:cs="Arial"/>
        </w:rPr>
        <w:t xml:space="preserve"> oraz  </w:t>
      </w:r>
      <w:r w:rsidR="00FF1C00" w:rsidRPr="00F75118">
        <w:rPr>
          <w:rStyle w:val="None"/>
          <w:rFonts w:cs="Arial"/>
          <w:b/>
        </w:rPr>
        <w:t xml:space="preserve">zrealizowany </w:t>
      </w:r>
      <w:r w:rsidR="001265D2" w:rsidRPr="00F75118">
        <w:rPr>
          <w:rStyle w:val="None"/>
          <w:rFonts w:cs="Arial"/>
          <w:b/>
        </w:rPr>
        <w:t xml:space="preserve"> do końca bieżącego roku tj.2025 </w:t>
      </w:r>
      <w:r w:rsidR="00FF1C00" w:rsidRPr="00F75118">
        <w:rPr>
          <w:rStyle w:val="None"/>
          <w:rFonts w:cs="Arial"/>
          <w:b/>
        </w:rPr>
        <w:t>jako warunek konieczny</w:t>
      </w:r>
      <w:r w:rsidR="00FF1C00" w:rsidRPr="00F75118">
        <w:rPr>
          <w:rStyle w:val="None"/>
          <w:rFonts w:cs="Arial"/>
        </w:rPr>
        <w:t xml:space="preserve"> </w:t>
      </w:r>
    </w:p>
    <w:p w14:paraId="750F26BF" w14:textId="77777777"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 i całkowitą wartość oferty)</w:t>
      </w:r>
    </w:p>
    <w:p w14:paraId="614E517D" w14:textId="77777777"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r w:rsidRPr="00052CF7">
        <w:rPr>
          <w:rFonts w:ascii="Arial" w:hAnsi="Arial" w:cs="Arial"/>
          <w:sz w:val="20"/>
          <w:szCs w:val="20"/>
        </w:rPr>
        <w:t>cena netto obejmuje wszelkie koszty związane z realizacją przedmiotu 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 i nie jest uzależniona od żadnych innych 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</w:p>
    <w:p w14:paraId="14991C07" w14:textId="77777777" w:rsidR="00BD0718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r w:rsidRPr="00052CF7">
        <w:rPr>
          <w:rFonts w:ascii="Arial" w:hAnsi="Arial" w:cs="Arial"/>
          <w:sz w:val="20"/>
          <w:szCs w:val="20"/>
        </w:rPr>
        <w:t xml:space="preserve">Oferent jest związany Ofertą przez okres </w:t>
      </w:r>
      <w:r w:rsidRPr="00052CF7">
        <w:rPr>
          <w:rFonts w:ascii="Arial" w:hAnsi="Arial" w:cs="Arial"/>
          <w:b/>
          <w:sz w:val="20"/>
          <w:szCs w:val="20"/>
        </w:rPr>
        <w:t>30 dni</w:t>
      </w:r>
      <w:r w:rsidRPr="00052CF7">
        <w:rPr>
          <w:rFonts w:ascii="Arial" w:hAnsi="Arial" w:cs="Arial"/>
          <w:sz w:val="20"/>
          <w:szCs w:val="20"/>
        </w:rPr>
        <w:t xml:space="preserve"> od momentu upływu terminu na złożenie Oferty</w:t>
      </w:r>
    </w:p>
    <w:p w14:paraId="50D4F66F" w14:textId="001F5D71" w:rsidR="00BD0718" w:rsidRDefault="00BD0718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E5056B2" w14:textId="77777777" w:rsidR="006B441B" w:rsidRPr="00052CF7" w:rsidRDefault="006B441B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14FEDB84" w14:textId="77777777"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10380C9B" w14:textId="77777777"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lastRenderedPageBreak/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14:paraId="51484BE2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5D93F212" w14:textId="77777777"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14:paraId="0FBA75A2" w14:textId="77777777"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r w:rsidRPr="007E182F">
        <w:rPr>
          <w:rFonts w:cs="Arial"/>
          <w:b/>
        </w:rPr>
        <w:t>split payment</w:t>
      </w:r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14:paraId="7F3F7A33" w14:textId="77777777"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14:paraId="413FF921" w14:textId="77777777"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14:paraId="4E45318B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14:paraId="4F8A7112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14:paraId="0D2095A3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14:paraId="36193661" w14:textId="77777777"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14:paraId="0047E881" w14:textId="77777777" w:rsidR="00011231" w:rsidRPr="00A06A20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14:paraId="61AF585B" w14:textId="77777777"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DD7D71" w14:textId="77777777"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14:paraId="32222CDF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6420322A" w14:textId="77777777" w:rsidR="00011231" w:rsidRPr="009D01E8" w:rsidRDefault="00011231" w:rsidP="009D01E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9D01E8">
        <w:rPr>
          <w:rStyle w:val="None"/>
          <w:rFonts w:cs="Arial"/>
        </w:rPr>
        <w:t>Oferta powinna zostać zło</w:t>
      </w:r>
      <w:r w:rsidR="00516E96">
        <w:rPr>
          <w:rStyle w:val="None"/>
          <w:rFonts w:cs="Arial"/>
        </w:rPr>
        <w:t xml:space="preserve">żona w wersji elektronicznej </w:t>
      </w:r>
      <w:r w:rsidR="00516E96" w:rsidRPr="00926A9E">
        <w:rPr>
          <w:rStyle w:val="None"/>
          <w:rFonts w:cs="Arial"/>
          <w:b/>
          <w:highlight w:val="yellow"/>
        </w:rPr>
        <w:t xml:space="preserve">do </w:t>
      </w:r>
      <w:r w:rsidRPr="00926A9E">
        <w:rPr>
          <w:rStyle w:val="None"/>
          <w:rFonts w:cs="Arial"/>
          <w:b/>
          <w:highlight w:val="yellow"/>
        </w:rPr>
        <w:t xml:space="preserve">dnia </w:t>
      </w:r>
      <w:r w:rsidR="00481EAA" w:rsidRPr="00926A9E">
        <w:rPr>
          <w:rStyle w:val="None"/>
          <w:rFonts w:cs="Arial"/>
          <w:b/>
          <w:highlight w:val="yellow"/>
        </w:rPr>
        <w:t>27</w:t>
      </w:r>
      <w:r w:rsidRPr="00926A9E">
        <w:rPr>
          <w:rStyle w:val="None"/>
          <w:rFonts w:cs="Arial"/>
          <w:b/>
          <w:highlight w:val="yellow"/>
        </w:rPr>
        <w:t xml:space="preserve"> listopada 2025r. do </w:t>
      </w:r>
      <w:r w:rsidR="00516E96" w:rsidRPr="00926A9E">
        <w:rPr>
          <w:rStyle w:val="None"/>
          <w:rFonts w:cs="Arial"/>
          <w:b/>
          <w:highlight w:val="yellow"/>
        </w:rPr>
        <w:t>godz. 16:00</w:t>
      </w:r>
      <w:r w:rsidRPr="00FF1C00">
        <w:rPr>
          <w:rStyle w:val="None"/>
          <w:rFonts w:cs="Arial"/>
        </w:rPr>
        <w:t xml:space="preserve"> na adres email</w:t>
      </w:r>
      <w:r w:rsidRPr="00FF1C00">
        <w:rPr>
          <w:rStyle w:val="None"/>
          <w:rFonts w:cs="Arial"/>
          <w:color w:val="5B9BD5" w:themeColor="accent1"/>
        </w:rPr>
        <w:t xml:space="preserve">: </w:t>
      </w:r>
      <w:hyperlink r:id="rId7" w:history="1">
        <w:r w:rsidR="002A28CC" w:rsidRPr="00926A9E">
          <w:rPr>
            <w:rStyle w:val="Hipercze"/>
            <w:highlight w:val="yellow"/>
          </w:rPr>
          <w:t>oferty@exatel.pl</w:t>
        </w:r>
      </w:hyperlink>
      <w:r w:rsidR="0054067B" w:rsidRPr="00FF1C00">
        <w:rPr>
          <w:rFonts w:cs="Arial"/>
        </w:rPr>
        <w:t xml:space="preserve"> .</w:t>
      </w:r>
      <w:r w:rsidRPr="00FF1C00">
        <w:rPr>
          <w:rStyle w:val="None"/>
          <w:rFonts w:cs="Arial"/>
        </w:rPr>
        <w:t xml:space="preserve"> W tytule wiadomości należy umieścić</w:t>
      </w:r>
      <w:r w:rsidRPr="009D01E8">
        <w:rPr>
          <w:rStyle w:val="None"/>
          <w:rFonts w:cs="Arial"/>
        </w:rPr>
        <w:t xml:space="preserve"> zapis:</w:t>
      </w:r>
    </w:p>
    <w:p w14:paraId="42315637" w14:textId="77777777" w:rsidR="00011231" w:rsidRPr="009D01E8" w:rsidRDefault="00C25703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  <w:r>
        <w:rPr>
          <w:rStyle w:val="None"/>
          <w:rFonts w:cs="Arial"/>
          <w:b/>
          <w:bCs/>
        </w:rPr>
        <w:t>„Oferta dotycząca</w:t>
      </w:r>
      <w:r w:rsidR="00011231" w:rsidRPr="009D01E8">
        <w:rPr>
          <w:rStyle w:val="None"/>
          <w:rFonts w:cs="Arial"/>
          <w:b/>
          <w:bCs/>
        </w:rPr>
        <w:t xml:space="preserve"> </w:t>
      </w:r>
      <w:r w:rsidR="009D01E8" w:rsidRPr="009D01E8">
        <w:rPr>
          <w:rStyle w:val="None"/>
          <w:rFonts w:cs="Arial"/>
          <w:b/>
          <w:bCs/>
        </w:rPr>
        <w:t xml:space="preserve">zakupu </w:t>
      </w:r>
      <w:r w:rsidR="00A00AFF">
        <w:rPr>
          <w:rStyle w:val="None"/>
          <w:rFonts w:cs="Arial"/>
          <w:b/>
          <w:bCs/>
        </w:rPr>
        <w:t xml:space="preserve">usług na </w:t>
      </w:r>
      <w:r w:rsidR="00A00AFF">
        <w:rPr>
          <w:rStyle w:val="None"/>
          <w:rFonts w:cs="Arial"/>
          <w:b/>
        </w:rPr>
        <w:t>r</w:t>
      </w:r>
      <w:r w:rsidR="00A00AFF" w:rsidRPr="00A00AFF">
        <w:rPr>
          <w:rStyle w:val="None"/>
          <w:rFonts w:cs="Arial"/>
          <w:b/>
        </w:rPr>
        <w:t>emont rampy zjazdowej do garażu podziemnego</w:t>
      </w:r>
      <w:r>
        <w:rPr>
          <w:rFonts w:cs="Arial"/>
          <w:b/>
          <w:bCs/>
        </w:rPr>
        <w:t xml:space="preserve"> </w:t>
      </w:r>
      <w:r w:rsidR="00011231" w:rsidRPr="009D01E8">
        <w:rPr>
          <w:rStyle w:val="None"/>
          <w:rFonts w:cs="Arial"/>
          <w:b/>
        </w:rPr>
        <w:t xml:space="preserve">w ramach postępowania </w:t>
      </w:r>
      <w:r w:rsidR="00481EAA">
        <w:rPr>
          <w:rStyle w:val="None"/>
          <w:rFonts w:cs="Arial"/>
          <w:b/>
        </w:rPr>
        <w:t>zakupowego nr 23/2025 _</w:t>
      </w:r>
      <w:r w:rsidR="00481EAA" w:rsidRPr="00481EAA">
        <w:t xml:space="preserve"> </w:t>
      </w:r>
      <w:r w:rsidR="00481EAA" w:rsidRPr="00481EAA">
        <w:rPr>
          <w:rStyle w:val="None"/>
          <w:rFonts w:cs="Arial"/>
          <w:b/>
          <w:bCs/>
          <w:iCs/>
          <w:color w:val="auto"/>
        </w:rPr>
        <w:t>WNZAK/2025/11/00169</w:t>
      </w:r>
      <w:r w:rsidR="00011231" w:rsidRPr="009D01E8">
        <w:rPr>
          <w:rStyle w:val="None"/>
          <w:rFonts w:cs="Arial"/>
          <w:b/>
          <w:bCs/>
        </w:rPr>
        <w:t>”.</w:t>
      </w:r>
    </w:p>
    <w:p w14:paraId="79C55777" w14:textId="77777777" w:rsidR="00011231" w:rsidRPr="009D01E8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3.2.</w:t>
      </w:r>
      <w:r w:rsidR="00CC4C52">
        <w:rPr>
          <w:rFonts w:ascii="Arial" w:hAnsi="Arial" w:cs="Arial"/>
          <w:b/>
          <w:sz w:val="20"/>
          <w:szCs w:val="20"/>
        </w:rPr>
        <w:t xml:space="preserve"> </w:t>
      </w:r>
      <w:r w:rsidR="00011231" w:rsidRPr="009D01E8">
        <w:rPr>
          <w:rFonts w:ascii="Arial" w:hAnsi="Arial" w:cs="Arial"/>
          <w:sz w:val="20"/>
          <w:szCs w:val="20"/>
        </w:rPr>
        <w:t xml:space="preserve">Oferta dostarczona Zamawiającemu po terminie składania nie będzie brana pod uwagę przez </w:t>
      </w:r>
      <w:r w:rsidR="00CC4C52">
        <w:rPr>
          <w:rFonts w:ascii="Arial" w:hAnsi="Arial" w:cs="Arial"/>
          <w:sz w:val="20"/>
          <w:szCs w:val="20"/>
        </w:rPr>
        <w:t xml:space="preserve">  </w:t>
      </w:r>
      <w:r w:rsidR="00011231" w:rsidRPr="009D01E8">
        <w:rPr>
          <w:rFonts w:ascii="Arial" w:hAnsi="Arial" w:cs="Arial"/>
          <w:sz w:val="20"/>
          <w:szCs w:val="20"/>
        </w:rPr>
        <w:t>Zamawiającego.</w:t>
      </w:r>
    </w:p>
    <w:p w14:paraId="22B9681E" w14:textId="77777777" w:rsidR="00011231" w:rsidRPr="009D01E8" w:rsidRDefault="009D01E8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3.3.</w:t>
      </w:r>
      <w:r w:rsidRPr="009D01E8">
        <w:rPr>
          <w:rFonts w:ascii="Arial" w:hAnsi="Arial" w:cs="Arial"/>
          <w:sz w:val="20"/>
          <w:szCs w:val="20"/>
        </w:rPr>
        <w:t xml:space="preserve"> Z</w:t>
      </w:r>
      <w:r w:rsidR="00011231" w:rsidRPr="009D01E8">
        <w:rPr>
          <w:rFonts w:ascii="Arial" w:hAnsi="Arial" w:cs="Arial"/>
          <w:sz w:val="20"/>
          <w:szCs w:val="20"/>
        </w:rPr>
        <w:t>amawiający nie dopuszcza składania ofert częściowych.</w:t>
      </w:r>
    </w:p>
    <w:p w14:paraId="3DDC125A" w14:textId="77777777"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r w:rsidR="00011231" w:rsidRPr="009D01E8">
        <w:rPr>
          <w:rFonts w:ascii="Arial" w:hAnsi="Arial" w:cs="Arial"/>
          <w:sz w:val="20"/>
          <w:szCs w:val="20"/>
        </w:rPr>
        <w:t>Oferta nie będzie mogła być wycofana w okresie pomiędzy terminem składania Ofert i terminem ważności Oferty</w:t>
      </w:r>
    </w:p>
    <w:p w14:paraId="3EB8DD2A" w14:textId="77777777"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</w:p>
    <w:p w14:paraId="55095F43" w14:textId="77777777"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14:paraId="6398605C" w14:textId="77777777" w:rsidR="00BD0718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14:paraId="67B58D26" w14:textId="77777777" w:rsidR="009D01E8" w:rsidRPr="00FF1C00" w:rsidRDefault="009D01E8" w:rsidP="00FF1C00">
      <w:pPr>
        <w:spacing w:line="276" w:lineRule="auto"/>
        <w:rPr>
          <w:rFonts w:cs="Arial"/>
          <w:b/>
        </w:rPr>
      </w:pPr>
    </w:p>
    <w:p w14:paraId="3AF4E1F1" w14:textId="7FCA9A2A" w:rsidR="00FF1C00" w:rsidRPr="00F75118" w:rsidRDefault="00FF1C00" w:rsidP="00FF1C00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F75118">
        <w:rPr>
          <w:rStyle w:val="None"/>
          <w:rFonts w:cs="Arial"/>
          <w:lang w:val="de-DE"/>
        </w:rPr>
        <w:t xml:space="preserve">Zamawiający oceni i porówna jedynie te oferty, które zostały złożone w terminie, a ich treść odpowiada wymaganiom określonym w </w:t>
      </w:r>
      <w:r w:rsidR="00F75118">
        <w:rPr>
          <w:rStyle w:val="None"/>
          <w:rFonts w:cs="Arial"/>
          <w:lang w:val="de-DE"/>
        </w:rPr>
        <w:t>przedmiocie zamówienia.</w:t>
      </w:r>
    </w:p>
    <w:p w14:paraId="37DC3DC4" w14:textId="77777777" w:rsidR="00F75118" w:rsidRPr="00F75118" w:rsidRDefault="00FF1C00" w:rsidP="00F7511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lang w:val="de-DE"/>
        </w:rPr>
      </w:pPr>
      <w:r w:rsidRPr="00F75118">
        <w:rPr>
          <w:rStyle w:val="None"/>
          <w:rFonts w:cs="Arial"/>
          <w:lang w:val="de-DE"/>
        </w:rPr>
        <w:t>Oferty zostaną ocenione przez Zamawiającego w oparciu o następujące kryteria</w:t>
      </w:r>
      <w:r w:rsidR="003072A3" w:rsidRPr="00F75118">
        <w:rPr>
          <w:rStyle w:val="None"/>
          <w:rFonts w:cs="Arial"/>
          <w:lang w:val="de-DE"/>
        </w:rPr>
        <w:t>:</w:t>
      </w:r>
    </w:p>
    <w:p w14:paraId="08315D72" w14:textId="0F2C76F5" w:rsidR="003072A3" w:rsidRPr="00F75118" w:rsidRDefault="00FF1C00" w:rsidP="00F75118">
      <w:pPr>
        <w:pStyle w:val="Akapitzlist"/>
        <w:spacing w:line="276" w:lineRule="auto"/>
        <w:ind w:left="360"/>
        <w:rPr>
          <w:rStyle w:val="None"/>
          <w:rFonts w:cs="Arial"/>
          <w:b/>
          <w:lang w:val="de-DE"/>
        </w:rPr>
      </w:pPr>
      <w:r w:rsidRPr="00F75118">
        <w:rPr>
          <w:rStyle w:val="None"/>
          <w:rFonts w:cs="Arial"/>
          <w:b/>
          <w:lang w:val="de-DE"/>
        </w:rPr>
        <w:t xml:space="preserve">Cena </w:t>
      </w:r>
      <w:r w:rsidR="003072A3" w:rsidRPr="00F75118">
        <w:rPr>
          <w:rStyle w:val="None"/>
          <w:rFonts w:cs="Arial"/>
          <w:b/>
          <w:lang w:val="de-DE"/>
        </w:rPr>
        <w:t xml:space="preserve"> i termin wykonania/realizacji </w:t>
      </w:r>
    </w:p>
    <w:p w14:paraId="10237A1C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14:paraId="3C102DAF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14:paraId="53B55E2D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14:paraId="6FEAC8C0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14:paraId="1D2456E0" w14:textId="77777777" w:rsidR="00FF1C00" w:rsidRPr="00052CF7" w:rsidRDefault="00FF1C00" w:rsidP="00FF1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25A339" w14:textId="77777777"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14:paraId="3CF37F00" w14:textId="77777777"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14:paraId="645BECCD" w14:textId="77777777"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14:paraId="35987174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14:paraId="34454815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14:paraId="60EB1868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14:paraId="36143243" w14:textId="77777777"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3FD8FE12" w14:textId="77777777"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0297C831" w14:textId="77777777"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13E7B680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3B5116E8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30E89AEC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044B01" w14:paraId="365EC71A" w14:textId="77777777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2500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65F7" w14:textId="77777777" w:rsidR="006534DF" w:rsidRPr="00EB49CC" w:rsidRDefault="006534DF" w:rsidP="00052CF7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7CF5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14:paraId="6D091346" w14:textId="77777777"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1B5F0" w14:textId="77777777" w:rsidR="00FE6D92" w:rsidRDefault="00FE6D92" w:rsidP="00776CC8">
      <w:r>
        <w:separator/>
      </w:r>
    </w:p>
  </w:endnote>
  <w:endnote w:type="continuationSeparator" w:id="0">
    <w:p w14:paraId="005729B3" w14:textId="77777777" w:rsidR="00FE6D92" w:rsidRDefault="00FE6D92" w:rsidP="007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4E543" w14:textId="77777777" w:rsidR="00FE6D92" w:rsidRDefault="00FE6D92" w:rsidP="00776CC8">
      <w:r>
        <w:separator/>
      </w:r>
    </w:p>
  </w:footnote>
  <w:footnote w:type="continuationSeparator" w:id="0">
    <w:p w14:paraId="547142B1" w14:textId="77777777" w:rsidR="00FE6D92" w:rsidRDefault="00FE6D92" w:rsidP="0077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FC74" w14:textId="77777777" w:rsidR="00776CC8" w:rsidRDefault="00776CC8">
    <w:pPr>
      <w:pStyle w:val="Nagwek"/>
    </w:pPr>
    <w:r>
      <w:rPr>
        <w:noProof/>
        <w:lang w:eastAsia="pl-PL"/>
      </w:rPr>
      <w:drawing>
        <wp:inline distT="0" distB="0" distL="0" distR="0" wp14:anchorId="791BD7B7" wp14:editId="3C2F6FB5">
          <wp:extent cx="775022" cy="238125"/>
          <wp:effectExtent l="0" t="0" r="6350" b="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71" cy="24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0E667" w14:textId="77777777" w:rsidR="00776CC8" w:rsidRDefault="00776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BA91089"/>
    <w:multiLevelType w:val="hybridMultilevel"/>
    <w:tmpl w:val="5A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787"/>
    <w:multiLevelType w:val="multilevel"/>
    <w:tmpl w:val="83389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9153B7"/>
    <w:multiLevelType w:val="multilevel"/>
    <w:tmpl w:val="6D68AA96"/>
    <w:numStyleLink w:val="ImportedStyle1"/>
  </w:abstractNum>
  <w:abstractNum w:abstractNumId="13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C91AB8"/>
    <w:multiLevelType w:val="multilevel"/>
    <w:tmpl w:val="69F2C466"/>
    <w:numStyleLink w:val="ImportedStyle4"/>
  </w:abstractNum>
  <w:abstractNum w:abstractNumId="17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6"/>
  </w:num>
  <w:num w:numId="3">
    <w:abstractNumId w:val="16"/>
    <w:lvlOverride w:ilvl="0">
      <w:startOverride w:val="2"/>
    </w:lvlOverride>
  </w:num>
  <w:num w:numId="4">
    <w:abstractNumId w:val="9"/>
  </w:num>
  <w:num w:numId="5">
    <w:abstractNumId w:val="17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C7251"/>
    <w:rsid w:val="001052BA"/>
    <w:rsid w:val="00105D95"/>
    <w:rsid w:val="001265D2"/>
    <w:rsid w:val="00192901"/>
    <w:rsid w:val="00235C28"/>
    <w:rsid w:val="002A28CC"/>
    <w:rsid w:val="002C33CD"/>
    <w:rsid w:val="003006BF"/>
    <w:rsid w:val="00304792"/>
    <w:rsid w:val="00306ECE"/>
    <w:rsid w:val="003072A3"/>
    <w:rsid w:val="00362B45"/>
    <w:rsid w:val="00375ED2"/>
    <w:rsid w:val="003E2E46"/>
    <w:rsid w:val="003E7656"/>
    <w:rsid w:val="00403145"/>
    <w:rsid w:val="00464335"/>
    <w:rsid w:val="00481EAA"/>
    <w:rsid w:val="00482880"/>
    <w:rsid w:val="00482C6E"/>
    <w:rsid w:val="00483BAE"/>
    <w:rsid w:val="00516E96"/>
    <w:rsid w:val="0054067B"/>
    <w:rsid w:val="00555608"/>
    <w:rsid w:val="0057398D"/>
    <w:rsid w:val="0059089A"/>
    <w:rsid w:val="005E65B8"/>
    <w:rsid w:val="0060238A"/>
    <w:rsid w:val="00630735"/>
    <w:rsid w:val="006534DF"/>
    <w:rsid w:val="00697C8A"/>
    <w:rsid w:val="006B441B"/>
    <w:rsid w:val="006C1B94"/>
    <w:rsid w:val="00774BC8"/>
    <w:rsid w:val="00776CC8"/>
    <w:rsid w:val="007B0C60"/>
    <w:rsid w:val="007E182F"/>
    <w:rsid w:val="007F1F4B"/>
    <w:rsid w:val="00803982"/>
    <w:rsid w:val="008E5EFA"/>
    <w:rsid w:val="00915894"/>
    <w:rsid w:val="00926A9E"/>
    <w:rsid w:val="00970189"/>
    <w:rsid w:val="009B429B"/>
    <w:rsid w:val="009D01E8"/>
    <w:rsid w:val="00A00AFF"/>
    <w:rsid w:val="00A06A20"/>
    <w:rsid w:val="00A43D4A"/>
    <w:rsid w:val="00AD500C"/>
    <w:rsid w:val="00B0403C"/>
    <w:rsid w:val="00B77D46"/>
    <w:rsid w:val="00BD0718"/>
    <w:rsid w:val="00BF089D"/>
    <w:rsid w:val="00C049D2"/>
    <w:rsid w:val="00C25703"/>
    <w:rsid w:val="00C600A2"/>
    <w:rsid w:val="00CC4C52"/>
    <w:rsid w:val="00DA726F"/>
    <w:rsid w:val="00E82C5F"/>
    <w:rsid w:val="00ED38EB"/>
    <w:rsid w:val="00F75118"/>
    <w:rsid w:val="00F9654C"/>
    <w:rsid w:val="00FD606C"/>
    <w:rsid w:val="00FE6D92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B22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uiPriority w:val="99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table" w:styleId="Tabela-Siatka">
    <w:name w:val="Table Grid"/>
    <w:basedOn w:val="Standardowy"/>
    <w:uiPriority w:val="39"/>
    <w:rsid w:val="004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6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C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8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98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98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@exat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Zawadka Magdalena</cp:lastModifiedBy>
  <cp:revision>8</cp:revision>
  <dcterms:created xsi:type="dcterms:W3CDTF">2025-11-20T13:31:00Z</dcterms:created>
  <dcterms:modified xsi:type="dcterms:W3CDTF">2025-11-20T13:39:00Z</dcterms:modified>
</cp:coreProperties>
</file>